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2CFC" w14:textId="77777777" w:rsidR="00155A4D" w:rsidRPr="00080A01" w:rsidRDefault="00000000">
      <w:pPr>
        <w:spacing w:before="77"/>
        <w:ind w:left="4125" w:right="2985" w:hanging="1143"/>
        <w:rPr>
          <w:rFonts w:asciiTheme="minorHAnsi" w:hAnsiTheme="minorHAnsi" w:cstheme="minorHAnsi"/>
          <w:b/>
          <w:sz w:val="28"/>
        </w:rPr>
      </w:pPr>
      <w:r w:rsidRPr="00080A01">
        <w:rPr>
          <w:rFonts w:asciiTheme="minorHAnsi" w:hAnsiTheme="minorHAnsi" w:cstheme="minorHAnsi"/>
          <w:b/>
          <w:sz w:val="28"/>
        </w:rPr>
        <w:t>Employee Complaint Process: Definitions</w:t>
      </w:r>
    </w:p>
    <w:p w14:paraId="18BD7F04" w14:textId="77777777" w:rsidR="00155A4D" w:rsidRPr="00A24EB3" w:rsidRDefault="00155A4D">
      <w:pPr>
        <w:pStyle w:val="BodyText"/>
        <w:spacing w:before="8"/>
        <w:rPr>
          <w:rFonts w:asciiTheme="minorHAnsi" w:hAnsiTheme="minorHAnsi" w:cstheme="minorHAnsi"/>
          <w:b/>
          <w:sz w:val="24"/>
          <w:szCs w:val="24"/>
        </w:rPr>
      </w:pPr>
    </w:p>
    <w:p w14:paraId="38BE6A29" w14:textId="02D0EBD5" w:rsidR="00155A4D" w:rsidRPr="00A24EB3" w:rsidRDefault="00080A01">
      <w:pPr>
        <w:pStyle w:val="BodyText"/>
        <w:ind w:left="100" w:right="228"/>
        <w:rPr>
          <w:rFonts w:asciiTheme="minorHAnsi" w:hAnsiTheme="minorHAnsi" w:cstheme="minorHAnsi"/>
          <w:sz w:val="24"/>
          <w:szCs w:val="24"/>
        </w:rPr>
      </w:pPr>
      <w:r w:rsidRPr="00A24EB3">
        <w:rPr>
          <w:rFonts w:asciiTheme="minorHAnsi" w:hAnsiTheme="minorHAnsi" w:cstheme="minorHAnsi"/>
          <w:b/>
          <w:sz w:val="24"/>
          <w:szCs w:val="24"/>
          <w:u w:val="thick"/>
        </w:rPr>
        <w:t>Respondent</w:t>
      </w:r>
      <w:r w:rsidR="00000000" w:rsidRPr="00A24EB3">
        <w:rPr>
          <w:rFonts w:asciiTheme="minorHAnsi" w:hAnsiTheme="minorHAnsi" w:cstheme="minorHAnsi"/>
          <w:sz w:val="24"/>
          <w:szCs w:val="24"/>
        </w:rPr>
        <w:t>: The person or entity alleged to have discriminated against, unlawfully harassed, or bullied the target (see also Alleged Harasser).</w:t>
      </w:r>
    </w:p>
    <w:p w14:paraId="7BFB7916" w14:textId="77777777" w:rsidR="00155A4D" w:rsidRPr="00A24EB3" w:rsidRDefault="00155A4D">
      <w:pPr>
        <w:pStyle w:val="BodyText"/>
        <w:spacing w:before="11"/>
        <w:rPr>
          <w:rFonts w:asciiTheme="minorHAnsi" w:hAnsiTheme="minorHAnsi" w:cstheme="minorHAnsi"/>
          <w:sz w:val="24"/>
          <w:szCs w:val="24"/>
        </w:rPr>
      </w:pPr>
    </w:p>
    <w:p w14:paraId="79614B28" w14:textId="77777777" w:rsidR="00155A4D" w:rsidRPr="00A24EB3" w:rsidRDefault="00000000">
      <w:pPr>
        <w:pStyle w:val="BodyText"/>
        <w:ind w:left="100" w:right="100"/>
        <w:rPr>
          <w:rFonts w:asciiTheme="minorHAnsi" w:hAnsiTheme="minorHAnsi" w:cstheme="minorHAnsi"/>
          <w:sz w:val="24"/>
          <w:szCs w:val="24"/>
        </w:rPr>
      </w:pPr>
      <w:r w:rsidRPr="00A24EB3">
        <w:rPr>
          <w:rFonts w:asciiTheme="minorHAnsi" w:hAnsiTheme="minorHAnsi" w:cstheme="minorHAnsi"/>
          <w:b/>
          <w:sz w:val="24"/>
          <w:szCs w:val="24"/>
          <w:u w:val="thick"/>
        </w:rPr>
        <w:t>Alleged Harasser:</w:t>
      </w:r>
      <w:r w:rsidRPr="00A24EB3">
        <w:rPr>
          <w:rFonts w:asciiTheme="minorHAnsi" w:hAnsiTheme="minorHAnsi" w:cstheme="minorHAnsi"/>
          <w:b/>
          <w:sz w:val="24"/>
          <w:szCs w:val="24"/>
        </w:rPr>
        <w:t xml:space="preserve"> </w:t>
      </w:r>
      <w:r w:rsidRPr="00A24EB3">
        <w:rPr>
          <w:rFonts w:asciiTheme="minorHAnsi" w:hAnsiTheme="minorHAnsi" w:cstheme="minorHAnsi"/>
          <w:sz w:val="24"/>
          <w:szCs w:val="24"/>
        </w:rPr>
        <w:t>The person or entity that is alleged to have discriminated against, unlawfully harassed, or bullied the target (see also Accused).</w:t>
      </w:r>
    </w:p>
    <w:p w14:paraId="248D3BA3" w14:textId="77777777" w:rsidR="00155A4D" w:rsidRPr="00A24EB3" w:rsidRDefault="00155A4D">
      <w:pPr>
        <w:pStyle w:val="BodyText"/>
        <w:spacing w:before="2"/>
        <w:rPr>
          <w:rFonts w:asciiTheme="minorHAnsi" w:hAnsiTheme="minorHAnsi" w:cstheme="minorHAnsi"/>
          <w:sz w:val="24"/>
          <w:szCs w:val="24"/>
        </w:rPr>
      </w:pPr>
    </w:p>
    <w:p w14:paraId="5935AAAA" w14:textId="77777777" w:rsidR="00155A4D" w:rsidRPr="00A24EB3" w:rsidRDefault="00000000">
      <w:pPr>
        <w:ind w:left="100" w:right="228"/>
        <w:rPr>
          <w:rFonts w:asciiTheme="minorHAnsi" w:hAnsiTheme="minorHAnsi" w:cstheme="minorHAnsi"/>
          <w:sz w:val="24"/>
          <w:szCs w:val="24"/>
        </w:rPr>
      </w:pPr>
      <w:r w:rsidRPr="00A24EB3">
        <w:rPr>
          <w:rFonts w:asciiTheme="minorHAnsi" w:hAnsiTheme="minorHAnsi" w:cstheme="minorHAnsi"/>
          <w:b/>
          <w:sz w:val="24"/>
          <w:szCs w:val="24"/>
          <w:u w:val="thick"/>
        </w:rPr>
        <w:t>Bullying/Cyberbullying</w:t>
      </w:r>
      <w:r w:rsidRPr="00A24EB3">
        <w:rPr>
          <w:rFonts w:asciiTheme="minorHAnsi" w:hAnsiTheme="minorHAnsi" w:cstheme="minorHAnsi"/>
          <w:sz w:val="24"/>
          <w:szCs w:val="24"/>
        </w:rPr>
        <w:t xml:space="preserve">: </w:t>
      </w:r>
      <w:r w:rsidRPr="00A24EB3">
        <w:rPr>
          <w:rFonts w:asciiTheme="minorHAnsi" w:hAnsiTheme="minorHAnsi" w:cstheme="minorHAnsi"/>
          <w:i/>
          <w:sz w:val="24"/>
          <w:szCs w:val="24"/>
        </w:rPr>
        <w:t xml:space="preserve">Systemically and chronically </w:t>
      </w:r>
      <w:r w:rsidRPr="00A24EB3">
        <w:rPr>
          <w:rFonts w:asciiTheme="minorHAnsi" w:hAnsiTheme="minorHAnsi" w:cstheme="minorHAnsi"/>
          <w:sz w:val="24"/>
          <w:szCs w:val="24"/>
        </w:rPr>
        <w:t>inflicting physical hurt or psychological distress on an employee through unwanted and repeated written, verbal or physical behavior, including any threatening, insulting, or dehumanizing gesture that:</w:t>
      </w:r>
    </w:p>
    <w:p w14:paraId="7AE11C69" w14:textId="77777777" w:rsidR="00155A4D" w:rsidRPr="00A24EB3" w:rsidRDefault="00000000">
      <w:pPr>
        <w:pStyle w:val="ListParagraph"/>
        <w:numPr>
          <w:ilvl w:val="0"/>
          <w:numId w:val="2"/>
        </w:numPr>
        <w:tabs>
          <w:tab w:val="left" w:pos="821"/>
        </w:tabs>
        <w:spacing w:line="252" w:lineRule="exact"/>
        <w:ind w:hanging="361"/>
        <w:rPr>
          <w:rFonts w:asciiTheme="minorHAnsi" w:hAnsiTheme="minorHAnsi" w:cstheme="minorHAnsi"/>
          <w:sz w:val="24"/>
          <w:szCs w:val="24"/>
        </w:rPr>
      </w:pPr>
      <w:r w:rsidRPr="00A24EB3">
        <w:rPr>
          <w:rFonts w:asciiTheme="minorHAnsi" w:hAnsiTheme="minorHAnsi" w:cstheme="minorHAnsi"/>
          <w:sz w:val="24"/>
          <w:szCs w:val="24"/>
        </w:rPr>
        <w:t>Is severe or pervasive enough to create an intimidating, hostile, or offensive work</w:t>
      </w:r>
      <w:r w:rsidRPr="00A24EB3">
        <w:rPr>
          <w:rFonts w:asciiTheme="minorHAnsi" w:hAnsiTheme="minorHAnsi" w:cstheme="minorHAnsi"/>
          <w:spacing w:val="-18"/>
          <w:sz w:val="24"/>
          <w:szCs w:val="24"/>
        </w:rPr>
        <w:t xml:space="preserve"> </w:t>
      </w:r>
      <w:r w:rsidRPr="00A24EB3">
        <w:rPr>
          <w:rFonts w:asciiTheme="minorHAnsi" w:hAnsiTheme="minorHAnsi" w:cstheme="minorHAnsi"/>
          <w:sz w:val="24"/>
          <w:szCs w:val="24"/>
        </w:rPr>
        <w:t>environment;</w:t>
      </w:r>
    </w:p>
    <w:p w14:paraId="290BF47D" w14:textId="77777777" w:rsidR="00155A4D" w:rsidRPr="00A24EB3" w:rsidRDefault="00000000">
      <w:pPr>
        <w:pStyle w:val="ListParagraph"/>
        <w:numPr>
          <w:ilvl w:val="0"/>
          <w:numId w:val="2"/>
        </w:numPr>
        <w:tabs>
          <w:tab w:val="left" w:pos="821"/>
        </w:tabs>
        <w:ind w:hanging="361"/>
        <w:rPr>
          <w:rFonts w:asciiTheme="minorHAnsi" w:hAnsiTheme="minorHAnsi" w:cstheme="minorHAnsi"/>
          <w:sz w:val="24"/>
          <w:szCs w:val="24"/>
        </w:rPr>
      </w:pPr>
      <w:r w:rsidRPr="00A24EB3">
        <w:rPr>
          <w:rFonts w:asciiTheme="minorHAnsi" w:hAnsiTheme="minorHAnsi" w:cstheme="minorHAnsi"/>
          <w:sz w:val="24"/>
          <w:szCs w:val="24"/>
        </w:rPr>
        <w:t>Cause discomfort or humiliation;</w:t>
      </w:r>
      <w:r w:rsidRPr="00A24EB3">
        <w:rPr>
          <w:rFonts w:asciiTheme="minorHAnsi" w:hAnsiTheme="minorHAnsi" w:cstheme="minorHAnsi"/>
          <w:spacing w:val="1"/>
          <w:sz w:val="24"/>
          <w:szCs w:val="24"/>
        </w:rPr>
        <w:t xml:space="preserve"> </w:t>
      </w:r>
      <w:r w:rsidRPr="00A24EB3">
        <w:rPr>
          <w:rFonts w:asciiTheme="minorHAnsi" w:hAnsiTheme="minorHAnsi" w:cstheme="minorHAnsi"/>
          <w:sz w:val="24"/>
          <w:szCs w:val="24"/>
        </w:rPr>
        <w:t>OR</w:t>
      </w:r>
    </w:p>
    <w:p w14:paraId="4AAF1B21" w14:textId="77777777" w:rsidR="00155A4D" w:rsidRPr="00A24EB3" w:rsidRDefault="00000000">
      <w:pPr>
        <w:pStyle w:val="ListParagraph"/>
        <w:numPr>
          <w:ilvl w:val="0"/>
          <w:numId w:val="2"/>
        </w:numPr>
        <w:tabs>
          <w:tab w:val="left" w:pos="821"/>
        </w:tabs>
        <w:spacing w:before="1"/>
        <w:ind w:hanging="361"/>
        <w:rPr>
          <w:rFonts w:asciiTheme="minorHAnsi" w:hAnsiTheme="minorHAnsi" w:cstheme="minorHAnsi"/>
          <w:sz w:val="24"/>
          <w:szCs w:val="24"/>
        </w:rPr>
      </w:pPr>
      <w:r w:rsidRPr="00A24EB3">
        <w:rPr>
          <w:rFonts w:asciiTheme="minorHAnsi" w:hAnsiTheme="minorHAnsi" w:cstheme="minorHAnsi"/>
          <w:sz w:val="24"/>
          <w:szCs w:val="24"/>
        </w:rPr>
        <w:t>Unreasonably interferes with the individual’s work performance or</w:t>
      </w:r>
      <w:r w:rsidRPr="00A24EB3">
        <w:rPr>
          <w:rFonts w:asciiTheme="minorHAnsi" w:hAnsiTheme="minorHAnsi" w:cstheme="minorHAnsi"/>
          <w:spacing w:val="-13"/>
          <w:sz w:val="24"/>
          <w:szCs w:val="24"/>
        </w:rPr>
        <w:t xml:space="preserve"> </w:t>
      </w:r>
      <w:r w:rsidRPr="00A24EB3">
        <w:rPr>
          <w:rFonts w:asciiTheme="minorHAnsi" w:hAnsiTheme="minorHAnsi" w:cstheme="minorHAnsi"/>
          <w:sz w:val="24"/>
          <w:szCs w:val="24"/>
        </w:rPr>
        <w:t>participation</w:t>
      </w:r>
    </w:p>
    <w:p w14:paraId="3AB091E9" w14:textId="77777777" w:rsidR="00155A4D" w:rsidRPr="00A24EB3" w:rsidRDefault="00155A4D">
      <w:pPr>
        <w:pStyle w:val="BodyText"/>
        <w:spacing w:before="10"/>
        <w:rPr>
          <w:rFonts w:asciiTheme="minorHAnsi" w:hAnsiTheme="minorHAnsi" w:cstheme="minorHAnsi"/>
          <w:sz w:val="24"/>
          <w:szCs w:val="24"/>
        </w:rPr>
      </w:pPr>
    </w:p>
    <w:p w14:paraId="22DA7814" w14:textId="77777777" w:rsidR="00155A4D" w:rsidRPr="00A24EB3" w:rsidRDefault="00000000">
      <w:pPr>
        <w:ind w:left="100"/>
        <w:rPr>
          <w:rFonts w:asciiTheme="minorHAnsi" w:hAnsiTheme="minorHAnsi" w:cstheme="minorHAnsi"/>
          <w:sz w:val="24"/>
          <w:szCs w:val="24"/>
        </w:rPr>
      </w:pPr>
      <w:r w:rsidRPr="00A24EB3">
        <w:rPr>
          <w:rFonts w:asciiTheme="minorHAnsi" w:hAnsiTheme="minorHAnsi" w:cstheme="minorHAnsi"/>
          <w:b/>
          <w:sz w:val="24"/>
          <w:szCs w:val="24"/>
          <w:u w:val="thick"/>
        </w:rPr>
        <w:t>Complainant</w:t>
      </w:r>
      <w:r w:rsidRPr="00A24EB3">
        <w:rPr>
          <w:rFonts w:asciiTheme="minorHAnsi" w:hAnsiTheme="minorHAnsi" w:cstheme="minorHAnsi"/>
          <w:sz w:val="24"/>
          <w:szCs w:val="24"/>
        </w:rPr>
        <w:t>: A person who has initiated a complaint.</w:t>
      </w:r>
    </w:p>
    <w:p w14:paraId="323D6857" w14:textId="77777777" w:rsidR="00155A4D" w:rsidRPr="00A24EB3" w:rsidRDefault="00155A4D">
      <w:pPr>
        <w:pStyle w:val="BodyText"/>
        <w:spacing w:before="1"/>
        <w:rPr>
          <w:rFonts w:asciiTheme="minorHAnsi" w:hAnsiTheme="minorHAnsi" w:cstheme="minorHAnsi"/>
          <w:sz w:val="24"/>
          <w:szCs w:val="24"/>
        </w:rPr>
      </w:pPr>
    </w:p>
    <w:p w14:paraId="78D8999C" w14:textId="77777777" w:rsidR="00155A4D" w:rsidRPr="00A24EB3" w:rsidRDefault="00000000">
      <w:pPr>
        <w:pStyle w:val="BodyText"/>
        <w:spacing w:before="91"/>
        <w:ind w:left="100" w:right="228"/>
        <w:rPr>
          <w:rFonts w:asciiTheme="minorHAnsi" w:hAnsiTheme="minorHAnsi" w:cstheme="minorHAnsi"/>
          <w:sz w:val="24"/>
          <w:szCs w:val="24"/>
        </w:rPr>
      </w:pPr>
      <w:r w:rsidRPr="00A24EB3">
        <w:rPr>
          <w:rFonts w:asciiTheme="minorHAnsi" w:hAnsiTheme="minorHAnsi" w:cstheme="minorHAnsi"/>
          <w:b/>
          <w:sz w:val="24"/>
          <w:szCs w:val="24"/>
          <w:u w:val="thick"/>
        </w:rPr>
        <w:t>Complaint</w:t>
      </w:r>
      <w:r w:rsidRPr="00A24EB3">
        <w:rPr>
          <w:rFonts w:asciiTheme="minorHAnsi" w:hAnsiTheme="minorHAnsi" w:cstheme="minorHAnsi"/>
          <w:sz w:val="24"/>
          <w:szCs w:val="24"/>
        </w:rPr>
        <w:t>: Assertion or claim of a violation of district policy or a state or federal law or</w:t>
      </w:r>
      <w:r w:rsidRPr="00A24EB3">
        <w:rPr>
          <w:rFonts w:asciiTheme="minorHAnsi" w:hAnsiTheme="minorHAnsi" w:cstheme="minorHAnsi"/>
          <w:spacing w:val="-35"/>
          <w:sz w:val="24"/>
          <w:szCs w:val="24"/>
        </w:rPr>
        <w:t xml:space="preserve"> </w:t>
      </w:r>
      <w:r w:rsidRPr="00A24EB3">
        <w:rPr>
          <w:rFonts w:asciiTheme="minorHAnsi" w:hAnsiTheme="minorHAnsi" w:cstheme="minorHAnsi"/>
          <w:sz w:val="24"/>
          <w:szCs w:val="24"/>
        </w:rPr>
        <w:t>regulation prohibiting discrimination or harassment on the basis of race, color, national origin, religion, age, gender/sex, genetic information, marital status or</w:t>
      </w:r>
      <w:r w:rsidRPr="00A24EB3">
        <w:rPr>
          <w:rFonts w:asciiTheme="minorHAnsi" w:hAnsiTheme="minorHAnsi" w:cstheme="minorHAnsi"/>
          <w:spacing w:val="-6"/>
          <w:sz w:val="24"/>
          <w:szCs w:val="24"/>
        </w:rPr>
        <w:t xml:space="preserve"> </w:t>
      </w:r>
      <w:r w:rsidRPr="00A24EB3">
        <w:rPr>
          <w:rFonts w:asciiTheme="minorHAnsi" w:hAnsiTheme="minorHAnsi" w:cstheme="minorHAnsi"/>
          <w:sz w:val="24"/>
          <w:szCs w:val="24"/>
        </w:rPr>
        <w:t>disability.</w:t>
      </w:r>
    </w:p>
    <w:p w14:paraId="2889E4DE" w14:textId="77777777" w:rsidR="00155A4D" w:rsidRPr="00A24EB3" w:rsidRDefault="00155A4D">
      <w:pPr>
        <w:pStyle w:val="BodyText"/>
        <w:spacing w:before="1"/>
        <w:rPr>
          <w:rFonts w:asciiTheme="minorHAnsi" w:hAnsiTheme="minorHAnsi" w:cstheme="minorHAnsi"/>
          <w:sz w:val="24"/>
          <w:szCs w:val="24"/>
        </w:rPr>
      </w:pPr>
    </w:p>
    <w:p w14:paraId="4D1DE167" w14:textId="77777777" w:rsidR="00155A4D" w:rsidRPr="00A24EB3" w:rsidRDefault="00000000">
      <w:pPr>
        <w:pStyle w:val="BodyText"/>
        <w:ind w:left="100" w:right="990"/>
        <w:rPr>
          <w:rFonts w:asciiTheme="minorHAnsi" w:hAnsiTheme="minorHAnsi" w:cstheme="minorHAnsi"/>
          <w:sz w:val="24"/>
          <w:szCs w:val="24"/>
        </w:rPr>
      </w:pPr>
      <w:r w:rsidRPr="00A24EB3">
        <w:rPr>
          <w:rFonts w:asciiTheme="minorHAnsi" w:hAnsiTheme="minorHAnsi" w:cstheme="minorHAnsi"/>
          <w:b/>
          <w:sz w:val="24"/>
          <w:szCs w:val="24"/>
          <w:u w:val="thick"/>
        </w:rPr>
        <w:t>Complaint Procedures:</w:t>
      </w:r>
      <w:r w:rsidRPr="00A24EB3">
        <w:rPr>
          <w:rFonts w:asciiTheme="minorHAnsi" w:hAnsiTheme="minorHAnsi" w:cstheme="minorHAnsi"/>
          <w:b/>
          <w:sz w:val="24"/>
          <w:szCs w:val="24"/>
        </w:rPr>
        <w:t xml:space="preserve"> </w:t>
      </w:r>
      <w:r w:rsidRPr="00A24EB3">
        <w:rPr>
          <w:rFonts w:asciiTheme="minorHAnsi" w:hAnsiTheme="minorHAnsi" w:cstheme="minorHAnsi"/>
          <w:sz w:val="24"/>
          <w:szCs w:val="24"/>
        </w:rPr>
        <w:t>School Board Policies 1122.04, 2260.02, 3122.04 and 4122.04 include procedures for filing a complaint of alleged</w:t>
      </w:r>
      <w:r w:rsidRPr="00A24EB3">
        <w:rPr>
          <w:rFonts w:asciiTheme="minorHAnsi" w:hAnsiTheme="minorHAnsi" w:cstheme="minorHAnsi"/>
          <w:spacing w:val="-6"/>
          <w:sz w:val="24"/>
          <w:szCs w:val="24"/>
        </w:rPr>
        <w:t xml:space="preserve"> </w:t>
      </w:r>
      <w:r w:rsidRPr="00A24EB3">
        <w:rPr>
          <w:rFonts w:asciiTheme="minorHAnsi" w:hAnsiTheme="minorHAnsi" w:cstheme="minorHAnsi"/>
          <w:sz w:val="24"/>
          <w:szCs w:val="24"/>
        </w:rPr>
        <w:t>discrimination.</w:t>
      </w:r>
    </w:p>
    <w:p w14:paraId="0E5D1492" w14:textId="77777777" w:rsidR="00155A4D" w:rsidRPr="00A24EB3" w:rsidRDefault="00155A4D">
      <w:pPr>
        <w:pStyle w:val="BodyText"/>
        <w:spacing w:before="11"/>
        <w:rPr>
          <w:rFonts w:asciiTheme="minorHAnsi" w:hAnsiTheme="minorHAnsi" w:cstheme="minorHAnsi"/>
          <w:sz w:val="24"/>
          <w:szCs w:val="24"/>
        </w:rPr>
      </w:pPr>
    </w:p>
    <w:p w14:paraId="23EAEAF3" w14:textId="77777777" w:rsidR="00155A4D" w:rsidRPr="00A24EB3" w:rsidRDefault="00000000">
      <w:pPr>
        <w:pStyle w:val="BodyText"/>
        <w:ind w:left="100" w:right="228"/>
        <w:rPr>
          <w:rFonts w:asciiTheme="minorHAnsi" w:hAnsiTheme="minorHAnsi" w:cstheme="minorHAnsi"/>
          <w:sz w:val="24"/>
          <w:szCs w:val="24"/>
        </w:rPr>
      </w:pPr>
      <w:r w:rsidRPr="00A24EB3">
        <w:rPr>
          <w:rFonts w:asciiTheme="minorHAnsi" w:hAnsiTheme="minorHAnsi" w:cstheme="minorHAnsi"/>
          <w:b/>
          <w:sz w:val="24"/>
          <w:szCs w:val="24"/>
          <w:u w:val="thick"/>
        </w:rPr>
        <w:t>Confidentiality</w:t>
      </w:r>
      <w:r w:rsidRPr="00A24EB3">
        <w:rPr>
          <w:rFonts w:asciiTheme="minorHAnsi" w:hAnsiTheme="minorHAnsi" w:cstheme="minorHAnsi"/>
          <w:sz w:val="24"/>
          <w:szCs w:val="24"/>
        </w:rPr>
        <w:t>: Confidentiality will be maintained to the extent possible and within the scope of those persons who have a right to know, which shall include the complainant and the person(s) against whom the complaint is directed until a finding is made relating to probable cause, the investigation of the complaint becomes inactive, or the complaint or other record is made part of the official record of any hearing or court proceeding.</w:t>
      </w:r>
    </w:p>
    <w:p w14:paraId="064431D1" w14:textId="77777777" w:rsidR="00155A4D" w:rsidRPr="00A24EB3" w:rsidRDefault="00155A4D">
      <w:pPr>
        <w:pStyle w:val="BodyText"/>
        <w:spacing w:before="2"/>
        <w:rPr>
          <w:rFonts w:asciiTheme="minorHAnsi" w:hAnsiTheme="minorHAnsi" w:cstheme="minorHAnsi"/>
          <w:sz w:val="24"/>
          <w:szCs w:val="24"/>
        </w:rPr>
      </w:pPr>
    </w:p>
    <w:p w14:paraId="530BA80F" w14:textId="0B48278A" w:rsidR="00155A4D" w:rsidRPr="00A24EB3" w:rsidRDefault="006C2B1B" w:rsidP="00A24EB3">
      <w:pPr>
        <w:ind w:left="100"/>
        <w:rPr>
          <w:rFonts w:asciiTheme="minorHAnsi" w:hAnsiTheme="minorHAnsi" w:cstheme="minorHAnsi"/>
          <w:sz w:val="24"/>
          <w:szCs w:val="24"/>
        </w:rPr>
      </w:pPr>
      <w:r w:rsidRPr="00A24EB3">
        <w:rPr>
          <w:rFonts w:asciiTheme="minorHAnsi" w:hAnsiTheme="minorHAnsi" w:cstheme="minorHAnsi"/>
          <w:b/>
          <w:sz w:val="24"/>
          <w:szCs w:val="24"/>
          <w:u w:val="thick"/>
        </w:rPr>
        <w:t>Civil Rights Compliance</w:t>
      </w:r>
      <w:r w:rsidR="00000000" w:rsidRPr="00A24EB3">
        <w:rPr>
          <w:rFonts w:asciiTheme="minorHAnsi" w:hAnsiTheme="minorHAnsi" w:cstheme="minorHAnsi"/>
          <w:b/>
          <w:sz w:val="24"/>
          <w:szCs w:val="24"/>
          <w:u w:val="thick"/>
        </w:rPr>
        <w:t xml:space="preserve"> Manager:</w:t>
      </w:r>
      <w:r w:rsidR="00000000" w:rsidRPr="00A24EB3">
        <w:rPr>
          <w:rFonts w:asciiTheme="minorHAnsi" w:hAnsiTheme="minorHAnsi" w:cstheme="minorHAnsi"/>
          <w:b/>
          <w:sz w:val="24"/>
          <w:szCs w:val="24"/>
        </w:rPr>
        <w:t xml:space="preserve"> </w:t>
      </w:r>
      <w:r w:rsidR="00A24EB3" w:rsidRPr="00A24EB3">
        <w:rPr>
          <w:rFonts w:asciiTheme="minorHAnsi" w:hAnsiTheme="minorHAnsi" w:cstheme="minorHAnsi"/>
          <w:sz w:val="24"/>
          <w:szCs w:val="24"/>
        </w:rPr>
        <w:t>The  person  designated as the Compliance Officer, ADA Coordinator, and Title IX Coordinator</w:t>
      </w:r>
    </w:p>
    <w:p w14:paraId="013B233E" w14:textId="7DE6D98F" w:rsidR="00155A4D" w:rsidRPr="00A24EB3" w:rsidRDefault="00000000">
      <w:pPr>
        <w:pStyle w:val="BodyText"/>
        <w:spacing w:before="91" w:line="276" w:lineRule="auto"/>
        <w:ind w:left="100" w:right="368"/>
        <w:rPr>
          <w:rFonts w:asciiTheme="minorHAnsi" w:hAnsiTheme="minorHAnsi" w:cstheme="minorHAnsi"/>
          <w:sz w:val="24"/>
          <w:szCs w:val="24"/>
        </w:rPr>
      </w:pPr>
      <w:r w:rsidRPr="00A24EB3">
        <w:rPr>
          <w:rFonts w:asciiTheme="minorHAnsi" w:hAnsiTheme="minorHAnsi" w:cstheme="minorHAnsi"/>
          <w:b/>
          <w:sz w:val="24"/>
          <w:szCs w:val="24"/>
          <w:u w:val="thick"/>
        </w:rPr>
        <w:t>Incivility:</w:t>
      </w:r>
      <w:r w:rsidRPr="00A24EB3">
        <w:rPr>
          <w:rFonts w:asciiTheme="minorHAnsi" w:hAnsiTheme="minorHAnsi" w:cstheme="minorHAnsi"/>
          <w:b/>
          <w:sz w:val="24"/>
          <w:szCs w:val="24"/>
        </w:rPr>
        <w:t xml:space="preserve"> </w:t>
      </w:r>
      <w:r w:rsidRPr="00A24EB3">
        <w:rPr>
          <w:rFonts w:asciiTheme="minorHAnsi" w:hAnsiTheme="minorHAnsi" w:cstheme="minorHAnsi"/>
          <w:sz w:val="24"/>
          <w:szCs w:val="24"/>
        </w:rPr>
        <w:t>Low-intensity deviant behavior, not based on a protected class, with the ambiguous intent to harm the target. Uncivil behaviors are characteristically rude and discourteous, display a lack of regard for others</w:t>
      </w:r>
      <w:r w:rsidR="006C2B1B" w:rsidRPr="00A24EB3">
        <w:rPr>
          <w:rFonts w:asciiTheme="minorHAnsi" w:hAnsiTheme="minorHAnsi" w:cstheme="minorHAnsi"/>
          <w:sz w:val="24"/>
          <w:szCs w:val="24"/>
        </w:rPr>
        <w:t>,</w:t>
      </w:r>
      <w:r w:rsidRPr="00A24EB3">
        <w:rPr>
          <w:rFonts w:asciiTheme="minorHAnsi" w:hAnsiTheme="minorHAnsi" w:cstheme="minorHAnsi"/>
          <w:sz w:val="24"/>
          <w:szCs w:val="24"/>
        </w:rPr>
        <w:t xml:space="preserve"> and show a lack of respect for the target. Examples of incivility include making insulting comments, spreading false rumors, social isolation</w:t>
      </w:r>
      <w:r w:rsidR="006C2B1B" w:rsidRPr="00A24EB3">
        <w:rPr>
          <w:rFonts w:asciiTheme="minorHAnsi" w:hAnsiTheme="minorHAnsi" w:cstheme="minorHAnsi"/>
          <w:sz w:val="24"/>
          <w:szCs w:val="24"/>
        </w:rPr>
        <w:t>,</w:t>
      </w:r>
      <w:r w:rsidRPr="00A24EB3">
        <w:rPr>
          <w:rFonts w:asciiTheme="minorHAnsi" w:hAnsiTheme="minorHAnsi" w:cstheme="minorHAnsi"/>
          <w:sz w:val="24"/>
          <w:szCs w:val="24"/>
        </w:rPr>
        <w:t xml:space="preserve"> and abrasive communication.</w:t>
      </w:r>
    </w:p>
    <w:p w14:paraId="54C3ADA8" w14:textId="762EE8BB" w:rsidR="00155A4D" w:rsidRPr="00A24EB3" w:rsidRDefault="00000000">
      <w:pPr>
        <w:pStyle w:val="BodyText"/>
        <w:spacing w:before="202"/>
        <w:ind w:left="100" w:right="228"/>
        <w:rPr>
          <w:rFonts w:asciiTheme="minorHAnsi" w:hAnsiTheme="minorHAnsi" w:cstheme="minorHAnsi"/>
          <w:sz w:val="24"/>
          <w:szCs w:val="24"/>
        </w:rPr>
      </w:pPr>
      <w:r w:rsidRPr="00A24EB3">
        <w:rPr>
          <w:rFonts w:asciiTheme="minorHAnsi" w:hAnsiTheme="minorHAnsi" w:cstheme="minorHAnsi"/>
          <w:b/>
          <w:sz w:val="24"/>
          <w:szCs w:val="24"/>
          <w:u w:val="thick"/>
        </w:rPr>
        <w:t>Investigator</w:t>
      </w:r>
      <w:r w:rsidRPr="00A24EB3">
        <w:rPr>
          <w:rFonts w:asciiTheme="minorHAnsi" w:hAnsiTheme="minorHAnsi" w:cstheme="minorHAnsi"/>
          <w:sz w:val="24"/>
          <w:szCs w:val="24"/>
        </w:rPr>
        <w:t xml:space="preserve">: </w:t>
      </w:r>
      <w:r w:rsidR="006C2B1B" w:rsidRPr="00A24EB3">
        <w:rPr>
          <w:rFonts w:asciiTheme="minorHAnsi" w:hAnsiTheme="minorHAnsi" w:cstheme="minorHAnsi"/>
          <w:sz w:val="24"/>
          <w:szCs w:val="24"/>
        </w:rPr>
        <w:t>A person</w:t>
      </w:r>
      <w:r w:rsidRPr="00A24EB3">
        <w:rPr>
          <w:rFonts w:asciiTheme="minorHAnsi" w:hAnsiTheme="minorHAnsi" w:cstheme="minorHAnsi"/>
          <w:sz w:val="24"/>
          <w:szCs w:val="24"/>
        </w:rPr>
        <w:t xml:space="preserve"> designated or assigned by the </w:t>
      </w:r>
      <w:r w:rsidR="006C2B1B" w:rsidRPr="00A24EB3">
        <w:rPr>
          <w:rFonts w:asciiTheme="minorHAnsi" w:hAnsiTheme="minorHAnsi" w:cstheme="minorHAnsi"/>
          <w:sz w:val="24"/>
          <w:szCs w:val="24"/>
        </w:rPr>
        <w:t>Civil Rights Compliance</w:t>
      </w:r>
      <w:r w:rsidRPr="00A24EB3">
        <w:rPr>
          <w:rFonts w:asciiTheme="minorHAnsi" w:hAnsiTheme="minorHAnsi" w:cstheme="minorHAnsi"/>
          <w:sz w:val="24"/>
          <w:szCs w:val="24"/>
        </w:rPr>
        <w:t xml:space="preserve"> Manager the responsibility of investigating a formal complaint of discrimination, unlawful harassment</w:t>
      </w:r>
      <w:r w:rsidR="006C2B1B" w:rsidRPr="00A24EB3">
        <w:rPr>
          <w:rFonts w:asciiTheme="minorHAnsi" w:hAnsiTheme="minorHAnsi" w:cstheme="minorHAnsi"/>
          <w:sz w:val="24"/>
          <w:szCs w:val="24"/>
        </w:rPr>
        <w:t>,</w:t>
      </w:r>
      <w:r w:rsidRPr="00A24EB3">
        <w:rPr>
          <w:rFonts w:asciiTheme="minorHAnsi" w:hAnsiTheme="minorHAnsi" w:cstheme="minorHAnsi"/>
          <w:sz w:val="24"/>
          <w:szCs w:val="24"/>
        </w:rPr>
        <w:t xml:space="preserve"> or bullying.</w:t>
      </w:r>
    </w:p>
    <w:p w14:paraId="71E9DF58" w14:textId="77777777" w:rsidR="00155A4D" w:rsidRPr="00A24EB3" w:rsidRDefault="00155A4D">
      <w:pPr>
        <w:pStyle w:val="BodyText"/>
        <w:rPr>
          <w:rFonts w:asciiTheme="minorHAnsi" w:hAnsiTheme="minorHAnsi" w:cstheme="minorHAnsi"/>
          <w:sz w:val="24"/>
          <w:szCs w:val="24"/>
        </w:rPr>
      </w:pPr>
    </w:p>
    <w:p w14:paraId="342A2C0E" w14:textId="1EA8C626" w:rsidR="00155A4D" w:rsidRPr="00A24EB3" w:rsidRDefault="00000000">
      <w:pPr>
        <w:pStyle w:val="BodyText"/>
        <w:ind w:left="100" w:right="228"/>
        <w:rPr>
          <w:rFonts w:asciiTheme="minorHAnsi" w:hAnsiTheme="minorHAnsi" w:cstheme="minorHAnsi"/>
          <w:sz w:val="24"/>
          <w:szCs w:val="24"/>
        </w:rPr>
      </w:pPr>
      <w:r w:rsidRPr="00A24EB3">
        <w:rPr>
          <w:rFonts w:asciiTheme="minorHAnsi" w:hAnsiTheme="minorHAnsi" w:cstheme="minorHAnsi"/>
          <w:b/>
          <w:sz w:val="24"/>
          <w:szCs w:val="24"/>
          <w:u w:val="thick"/>
        </w:rPr>
        <w:lastRenderedPageBreak/>
        <w:t>Non-Reprisal</w:t>
      </w:r>
      <w:r w:rsidRPr="00A24EB3">
        <w:rPr>
          <w:rFonts w:asciiTheme="minorHAnsi" w:hAnsiTheme="minorHAnsi" w:cstheme="minorHAnsi"/>
          <w:sz w:val="24"/>
          <w:szCs w:val="24"/>
        </w:rPr>
        <w:t xml:space="preserve">: No reprisal or adverse action will occur as a consequence of initiating a discrimination complaint. Federal and state laws strictly forbid any form of reprisal or retaliation against a complainant or </w:t>
      </w:r>
      <w:r w:rsidR="006C2B1B" w:rsidRPr="00A24EB3">
        <w:rPr>
          <w:rFonts w:asciiTheme="minorHAnsi" w:hAnsiTheme="minorHAnsi" w:cstheme="minorHAnsi"/>
          <w:sz w:val="24"/>
          <w:szCs w:val="24"/>
        </w:rPr>
        <w:t>parties-in-interest</w:t>
      </w:r>
      <w:r w:rsidRPr="00A24EB3">
        <w:rPr>
          <w:rFonts w:asciiTheme="minorHAnsi" w:hAnsiTheme="minorHAnsi" w:cstheme="minorHAnsi"/>
          <w:sz w:val="24"/>
          <w:szCs w:val="24"/>
        </w:rPr>
        <w:t xml:space="preserve"> in connection with the filing of a complaint of employment discrimination or unlawful harassment. Any form of retaliation for the filing of a complaint will be subject to immediate disciplinary action, up to and including dismissal.</w:t>
      </w:r>
    </w:p>
    <w:p w14:paraId="1070EAD0" w14:textId="2F1193B1" w:rsidR="00155A4D" w:rsidRPr="00A24EB3" w:rsidRDefault="00000000">
      <w:pPr>
        <w:pStyle w:val="BodyText"/>
        <w:spacing w:before="74"/>
        <w:ind w:left="100" w:right="228"/>
        <w:rPr>
          <w:rFonts w:asciiTheme="minorHAnsi" w:hAnsiTheme="minorHAnsi" w:cstheme="minorHAnsi"/>
          <w:sz w:val="24"/>
          <w:szCs w:val="24"/>
        </w:rPr>
      </w:pPr>
      <w:r w:rsidRPr="00A24EB3">
        <w:rPr>
          <w:rFonts w:asciiTheme="minorHAnsi" w:hAnsiTheme="minorHAnsi" w:cstheme="minorHAnsi"/>
          <w:b/>
          <w:sz w:val="24"/>
          <w:szCs w:val="24"/>
          <w:u w:val="thick"/>
        </w:rPr>
        <w:t>Protected Class</w:t>
      </w:r>
      <w:r w:rsidRPr="00A24EB3">
        <w:rPr>
          <w:rFonts w:asciiTheme="minorHAnsi" w:hAnsiTheme="minorHAnsi" w:cstheme="minorHAnsi"/>
          <w:sz w:val="24"/>
          <w:szCs w:val="24"/>
        </w:rPr>
        <w:t xml:space="preserve">: A group of people qualified for special protection based on federal or state law. Protected classes </w:t>
      </w:r>
      <w:r w:rsidR="00080A01" w:rsidRPr="00A24EB3">
        <w:rPr>
          <w:rFonts w:asciiTheme="minorHAnsi" w:hAnsiTheme="minorHAnsi" w:cstheme="minorHAnsi"/>
          <w:sz w:val="24"/>
          <w:szCs w:val="24"/>
        </w:rPr>
        <w:t>include</w:t>
      </w:r>
      <w:r w:rsidRPr="00A24EB3">
        <w:rPr>
          <w:rFonts w:asciiTheme="minorHAnsi" w:hAnsiTheme="minorHAnsi" w:cstheme="minorHAnsi"/>
          <w:sz w:val="24"/>
          <w:szCs w:val="24"/>
        </w:rPr>
        <w:t xml:space="preserve"> sex/gender, race, color, national origin, religion, disability, marital status, and genetic information.</w:t>
      </w:r>
    </w:p>
    <w:p w14:paraId="56ECD832" w14:textId="77777777" w:rsidR="00155A4D" w:rsidRPr="00A24EB3" w:rsidRDefault="00155A4D">
      <w:pPr>
        <w:pStyle w:val="BodyText"/>
        <w:spacing w:before="1"/>
        <w:rPr>
          <w:rFonts w:asciiTheme="minorHAnsi" w:hAnsiTheme="minorHAnsi" w:cstheme="minorHAnsi"/>
          <w:sz w:val="24"/>
          <w:szCs w:val="24"/>
        </w:rPr>
      </w:pPr>
    </w:p>
    <w:p w14:paraId="572EDD90" w14:textId="6011A9DB" w:rsidR="00155A4D" w:rsidRPr="00A24EB3" w:rsidRDefault="00000000">
      <w:pPr>
        <w:pStyle w:val="BodyText"/>
        <w:ind w:left="100" w:right="358"/>
        <w:rPr>
          <w:rFonts w:asciiTheme="minorHAnsi" w:hAnsiTheme="minorHAnsi" w:cstheme="minorHAnsi"/>
          <w:sz w:val="24"/>
          <w:szCs w:val="24"/>
        </w:rPr>
      </w:pPr>
      <w:r w:rsidRPr="00A24EB3">
        <w:rPr>
          <w:rFonts w:asciiTheme="minorHAnsi" w:hAnsiTheme="minorHAnsi" w:cstheme="minorHAnsi"/>
          <w:b/>
          <w:sz w:val="24"/>
          <w:szCs w:val="24"/>
          <w:u w:val="thick"/>
        </w:rPr>
        <w:t>Representation</w:t>
      </w:r>
      <w:r w:rsidRPr="00A24EB3">
        <w:rPr>
          <w:rFonts w:asciiTheme="minorHAnsi" w:hAnsiTheme="minorHAnsi" w:cstheme="minorHAnsi"/>
          <w:sz w:val="24"/>
          <w:szCs w:val="24"/>
        </w:rPr>
        <w:t xml:space="preserve">: The complainant, the person against whom the complaint is filed, and all parties in interest </w:t>
      </w:r>
      <w:r w:rsidR="00080A01" w:rsidRPr="00A24EB3">
        <w:rPr>
          <w:rFonts w:asciiTheme="minorHAnsi" w:hAnsiTheme="minorHAnsi" w:cstheme="minorHAnsi"/>
          <w:sz w:val="24"/>
          <w:szCs w:val="24"/>
        </w:rPr>
        <w:t>may</w:t>
      </w:r>
      <w:r w:rsidRPr="00A24EB3">
        <w:rPr>
          <w:rFonts w:asciiTheme="minorHAnsi" w:hAnsiTheme="minorHAnsi" w:cstheme="minorHAnsi"/>
          <w:sz w:val="24"/>
          <w:szCs w:val="24"/>
        </w:rPr>
        <w:t xml:space="preserve"> be heard personally, or may be represented or accompanied by a person of their choice to serve as their representative.</w:t>
      </w:r>
    </w:p>
    <w:p w14:paraId="62F9C53F" w14:textId="77777777" w:rsidR="00080A01" w:rsidRPr="00A24EB3" w:rsidRDefault="00080A01">
      <w:pPr>
        <w:pStyle w:val="BodyText"/>
        <w:ind w:left="100" w:right="358"/>
        <w:rPr>
          <w:rFonts w:asciiTheme="minorHAnsi" w:hAnsiTheme="minorHAnsi" w:cstheme="minorHAnsi"/>
          <w:sz w:val="24"/>
          <w:szCs w:val="24"/>
        </w:rPr>
      </w:pPr>
    </w:p>
    <w:p w14:paraId="5D50AC1F" w14:textId="24ADC217" w:rsidR="00080A01" w:rsidRPr="00A24EB3" w:rsidRDefault="00080A01">
      <w:pPr>
        <w:pStyle w:val="BodyText"/>
        <w:ind w:left="100" w:right="358"/>
        <w:rPr>
          <w:rFonts w:asciiTheme="minorHAnsi" w:hAnsiTheme="minorHAnsi" w:cstheme="minorHAnsi"/>
          <w:sz w:val="24"/>
          <w:szCs w:val="24"/>
        </w:rPr>
      </w:pPr>
      <w:r w:rsidRPr="00A24EB3">
        <w:rPr>
          <w:rFonts w:asciiTheme="minorHAnsi" w:hAnsiTheme="minorHAnsi" w:cstheme="minorHAnsi"/>
          <w:b/>
          <w:bCs/>
          <w:sz w:val="24"/>
          <w:szCs w:val="24"/>
          <w:u w:val="single"/>
        </w:rPr>
        <w:t>Respondent</w:t>
      </w:r>
      <w:r w:rsidRPr="00A24EB3">
        <w:rPr>
          <w:rFonts w:asciiTheme="minorHAnsi" w:hAnsiTheme="minorHAnsi" w:cstheme="minorHAnsi"/>
          <w:sz w:val="24"/>
          <w:szCs w:val="24"/>
        </w:rPr>
        <w:t xml:space="preserve"> is the individual who has been alleged to have engaged in unlawful harassment, regardless of whether the reporting party files a formal complaint or is seeking an informal resolution to the alleged harassment.</w:t>
      </w:r>
    </w:p>
    <w:p w14:paraId="3BF6D0A1" w14:textId="77777777" w:rsidR="00155A4D" w:rsidRPr="00A24EB3" w:rsidRDefault="00155A4D">
      <w:pPr>
        <w:pStyle w:val="BodyText"/>
        <w:spacing w:before="10"/>
        <w:rPr>
          <w:rFonts w:asciiTheme="minorHAnsi" w:hAnsiTheme="minorHAnsi" w:cstheme="minorHAnsi"/>
          <w:sz w:val="24"/>
          <w:szCs w:val="24"/>
        </w:rPr>
      </w:pPr>
    </w:p>
    <w:p w14:paraId="06AE78DF" w14:textId="77777777" w:rsidR="00155A4D" w:rsidRPr="00A24EB3" w:rsidRDefault="00000000">
      <w:pPr>
        <w:pStyle w:val="BodyText"/>
        <w:ind w:left="100" w:right="100"/>
        <w:rPr>
          <w:rFonts w:asciiTheme="minorHAnsi" w:hAnsiTheme="minorHAnsi" w:cstheme="minorHAnsi"/>
          <w:sz w:val="24"/>
          <w:szCs w:val="24"/>
        </w:rPr>
      </w:pPr>
      <w:r w:rsidRPr="00A24EB3">
        <w:rPr>
          <w:rFonts w:asciiTheme="minorHAnsi" w:hAnsiTheme="minorHAnsi" w:cstheme="minorHAnsi"/>
          <w:b/>
          <w:sz w:val="24"/>
          <w:szCs w:val="24"/>
          <w:u w:val="thick"/>
        </w:rPr>
        <w:t>Supervisor</w:t>
      </w:r>
      <w:r w:rsidRPr="00A24EB3">
        <w:rPr>
          <w:rFonts w:asciiTheme="minorHAnsi" w:hAnsiTheme="minorHAnsi" w:cstheme="minorHAnsi"/>
          <w:sz w:val="24"/>
          <w:szCs w:val="24"/>
        </w:rPr>
        <w:t>: For purpose of this procedure, the school principal for school personnel and the manager for employees in other district organizational units (i.e. FNS Manager, Senior Supervisors, Directors, etc.).</w:t>
      </w:r>
    </w:p>
    <w:p w14:paraId="6E5FC851" w14:textId="77777777" w:rsidR="00155A4D" w:rsidRPr="00A24EB3" w:rsidRDefault="00155A4D">
      <w:pPr>
        <w:pStyle w:val="BodyText"/>
        <w:spacing w:before="11"/>
        <w:rPr>
          <w:rFonts w:asciiTheme="minorHAnsi" w:hAnsiTheme="minorHAnsi" w:cstheme="minorHAnsi"/>
          <w:sz w:val="24"/>
          <w:szCs w:val="24"/>
        </w:rPr>
      </w:pPr>
    </w:p>
    <w:p w14:paraId="6B94CC4D" w14:textId="77777777" w:rsidR="00155A4D" w:rsidRPr="00A24EB3" w:rsidRDefault="00000000">
      <w:pPr>
        <w:pStyle w:val="BodyText"/>
        <w:ind w:left="100" w:right="228"/>
        <w:rPr>
          <w:rFonts w:asciiTheme="minorHAnsi" w:hAnsiTheme="minorHAnsi" w:cstheme="minorHAnsi"/>
          <w:sz w:val="24"/>
          <w:szCs w:val="24"/>
        </w:rPr>
      </w:pPr>
      <w:r w:rsidRPr="00A24EB3">
        <w:rPr>
          <w:rFonts w:asciiTheme="minorHAnsi" w:hAnsiTheme="minorHAnsi" w:cstheme="minorHAnsi"/>
          <w:b/>
          <w:sz w:val="24"/>
          <w:szCs w:val="24"/>
          <w:u w:val="thick"/>
        </w:rPr>
        <w:t>Target</w:t>
      </w:r>
      <w:r w:rsidRPr="00A24EB3">
        <w:rPr>
          <w:rFonts w:asciiTheme="minorHAnsi" w:hAnsiTheme="minorHAnsi" w:cstheme="minorHAnsi"/>
          <w:sz w:val="24"/>
          <w:szCs w:val="24"/>
        </w:rPr>
        <w:t>: The person(s) who has been reportedly discriminated against, unlawfully harassed or bullied based on one or more protected class.</w:t>
      </w:r>
    </w:p>
    <w:p w14:paraId="466E8FFF" w14:textId="77777777" w:rsidR="00155A4D" w:rsidRPr="00A24EB3" w:rsidRDefault="00155A4D">
      <w:pPr>
        <w:pStyle w:val="BodyText"/>
        <w:spacing w:before="1"/>
        <w:rPr>
          <w:rFonts w:asciiTheme="minorHAnsi" w:hAnsiTheme="minorHAnsi" w:cstheme="minorHAnsi"/>
          <w:sz w:val="24"/>
          <w:szCs w:val="24"/>
        </w:rPr>
      </w:pPr>
    </w:p>
    <w:p w14:paraId="1A970461" w14:textId="4251A545" w:rsidR="00155A4D" w:rsidRPr="00A24EB3" w:rsidRDefault="00000000">
      <w:pPr>
        <w:pStyle w:val="BodyText"/>
        <w:spacing w:before="1"/>
        <w:ind w:left="100" w:right="210"/>
        <w:rPr>
          <w:rFonts w:asciiTheme="minorHAnsi" w:hAnsiTheme="minorHAnsi" w:cstheme="minorHAnsi"/>
          <w:sz w:val="24"/>
          <w:szCs w:val="24"/>
        </w:rPr>
      </w:pPr>
      <w:r w:rsidRPr="00A24EB3">
        <w:rPr>
          <w:rFonts w:asciiTheme="minorHAnsi" w:hAnsiTheme="minorHAnsi" w:cstheme="minorHAnsi"/>
          <w:b/>
          <w:sz w:val="24"/>
          <w:szCs w:val="24"/>
          <w:u w:val="thick"/>
        </w:rPr>
        <w:t>Timelines</w:t>
      </w:r>
      <w:r w:rsidRPr="00A24EB3">
        <w:rPr>
          <w:rFonts w:asciiTheme="minorHAnsi" w:hAnsiTheme="minorHAnsi" w:cstheme="minorHAnsi"/>
          <w:sz w:val="24"/>
          <w:szCs w:val="24"/>
        </w:rPr>
        <w:t xml:space="preserve">: Timelines for completion of various steps in this procedure are designed to facilitate prompt resolution of the complaint; extensions of time may be obtained through mutual agreement of the parties. Any complaint not appealed to the next step of the process within the prescribed time limits will be considered resolved </w:t>
      </w:r>
      <w:r w:rsidR="00080A01" w:rsidRPr="00A24EB3">
        <w:rPr>
          <w:rFonts w:asciiTheme="minorHAnsi" w:hAnsiTheme="minorHAnsi" w:cstheme="minorHAnsi"/>
          <w:sz w:val="24"/>
          <w:szCs w:val="24"/>
        </w:rPr>
        <w:t>based on</w:t>
      </w:r>
      <w:r w:rsidRPr="00A24EB3">
        <w:rPr>
          <w:rFonts w:asciiTheme="minorHAnsi" w:hAnsiTheme="minorHAnsi" w:cstheme="minorHAnsi"/>
          <w:sz w:val="24"/>
          <w:szCs w:val="24"/>
        </w:rPr>
        <w:t xml:space="preserve"> the response at the preceding step.</w:t>
      </w:r>
    </w:p>
    <w:p w14:paraId="2E8FAF71" w14:textId="77777777" w:rsidR="00155A4D" w:rsidRPr="00A24EB3" w:rsidRDefault="00155A4D">
      <w:pPr>
        <w:pStyle w:val="BodyText"/>
        <w:rPr>
          <w:rFonts w:asciiTheme="minorHAnsi" w:hAnsiTheme="minorHAnsi" w:cstheme="minorHAnsi"/>
          <w:sz w:val="24"/>
          <w:szCs w:val="24"/>
        </w:rPr>
      </w:pPr>
    </w:p>
    <w:p w14:paraId="594A505A" w14:textId="77777777" w:rsidR="00155A4D" w:rsidRPr="00A24EB3" w:rsidRDefault="00000000">
      <w:pPr>
        <w:pStyle w:val="BodyText"/>
        <w:ind w:left="100" w:right="321"/>
        <w:rPr>
          <w:rFonts w:asciiTheme="minorHAnsi" w:hAnsiTheme="minorHAnsi" w:cstheme="minorHAnsi"/>
          <w:sz w:val="24"/>
          <w:szCs w:val="24"/>
        </w:rPr>
      </w:pPr>
      <w:r w:rsidRPr="00A24EB3">
        <w:rPr>
          <w:rFonts w:asciiTheme="minorHAnsi" w:hAnsiTheme="minorHAnsi" w:cstheme="minorHAnsi"/>
          <w:b/>
          <w:sz w:val="24"/>
          <w:szCs w:val="24"/>
          <w:u w:val="thick"/>
        </w:rPr>
        <w:t>Unlawful Harassment</w:t>
      </w:r>
      <w:r w:rsidRPr="00A24EB3">
        <w:rPr>
          <w:rFonts w:asciiTheme="minorHAnsi" w:hAnsiTheme="minorHAnsi" w:cstheme="minorHAnsi"/>
          <w:sz w:val="24"/>
          <w:szCs w:val="24"/>
        </w:rPr>
        <w:t xml:space="preserve">: Any threatening, insulting, or dehumanizing gesture, use of data or computer software, or written, verbal or physical conduct directed against an employee on the basis of a protected class, which is sufficiently </w:t>
      </w:r>
      <w:r w:rsidRPr="00A24EB3">
        <w:rPr>
          <w:rFonts w:asciiTheme="minorHAnsi" w:hAnsiTheme="minorHAnsi" w:cstheme="minorHAnsi"/>
          <w:i/>
          <w:sz w:val="24"/>
          <w:szCs w:val="24"/>
        </w:rPr>
        <w:t xml:space="preserve">severe, persistent, or pervasive </w:t>
      </w:r>
      <w:r w:rsidRPr="00A24EB3">
        <w:rPr>
          <w:rFonts w:asciiTheme="minorHAnsi" w:hAnsiTheme="minorHAnsi" w:cstheme="minorHAnsi"/>
          <w:sz w:val="24"/>
          <w:szCs w:val="24"/>
        </w:rPr>
        <w:t>that it:</w:t>
      </w:r>
    </w:p>
    <w:p w14:paraId="12F95F6B" w14:textId="77777777" w:rsidR="00155A4D" w:rsidRPr="00A24EB3" w:rsidRDefault="00000000">
      <w:pPr>
        <w:pStyle w:val="ListParagraph"/>
        <w:numPr>
          <w:ilvl w:val="0"/>
          <w:numId w:val="1"/>
        </w:numPr>
        <w:tabs>
          <w:tab w:val="left" w:pos="821"/>
        </w:tabs>
        <w:spacing w:line="252" w:lineRule="exact"/>
        <w:ind w:hanging="361"/>
        <w:rPr>
          <w:rFonts w:asciiTheme="minorHAnsi" w:hAnsiTheme="minorHAnsi" w:cstheme="minorHAnsi"/>
          <w:sz w:val="24"/>
          <w:szCs w:val="24"/>
        </w:rPr>
      </w:pPr>
      <w:r w:rsidRPr="00A24EB3">
        <w:rPr>
          <w:rFonts w:asciiTheme="minorHAnsi" w:hAnsiTheme="minorHAnsi" w:cstheme="minorHAnsi"/>
          <w:sz w:val="24"/>
          <w:szCs w:val="24"/>
        </w:rPr>
        <w:t>Places an employee in reasonable fear of harm to his/her person or damage to his/her</w:t>
      </w:r>
      <w:r w:rsidRPr="00A24EB3">
        <w:rPr>
          <w:rFonts w:asciiTheme="minorHAnsi" w:hAnsiTheme="minorHAnsi" w:cstheme="minorHAnsi"/>
          <w:spacing w:val="-20"/>
          <w:sz w:val="24"/>
          <w:szCs w:val="24"/>
        </w:rPr>
        <w:t xml:space="preserve"> </w:t>
      </w:r>
      <w:r w:rsidRPr="00A24EB3">
        <w:rPr>
          <w:rFonts w:asciiTheme="minorHAnsi" w:hAnsiTheme="minorHAnsi" w:cstheme="minorHAnsi"/>
          <w:sz w:val="24"/>
          <w:szCs w:val="24"/>
        </w:rPr>
        <w:t>property;</w:t>
      </w:r>
    </w:p>
    <w:p w14:paraId="03CE53BB" w14:textId="77777777" w:rsidR="00155A4D" w:rsidRPr="00A24EB3" w:rsidRDefault="00000000">
      <w:pPr>
        <w:pStyle w:val="ListParagraph"/>
        <w:numPr>
          <w:ilvl w:val="0"/>
          <w:numId w:val="1"/>
        </w:numPr>
        <w:tabs>
          <w:tab w:val="left" w:pos="821"/>
        </w:tabs>
        <w:spacing w:line="252" w:lineRule="exact"/>
        <w:ind w:hanging="361"/>
        <w:rPr>
          <w:rFonts w:asciiTheme="minorHAnsi" w:hAnsiTheme="minorHAnsi" w:cstheme="minorHAnsi"/>
          <w:sz w:val="24"/>
          <w:szCs w:val="24"/>
        </w:rPr>
      </w:pPr>
      <w:r w:rsidRPr="00A24EB3">
        <w:rPr>
          <w:rFonts w:asciiTheme="minorHAnsi" w:hAnsiTheme="minorHAnsi" w:cstheme="minorHAnsi"/>
          <w:sz w:val="24"/>
          <w:szCs w:val="24"/>
        </w:rPr>
        <w:t>Has the effect of substantially interfering with an employee’s work performance;</w:t>
      </w:r>
      <w:r w:rsidRPr="00A24EB3">
        <w:rPr>
          <w:rFonts w:asciiTheme="minorHAnsi" w:hAnsiTheme="minorHAnsi" w:cstheme="minorHAnsi"/>
          <w:spacing w:val="-19"/>
          <w:sz w:val="24"/>
          <w:szCs w:val="24"/>
        </w:rPr>
        <w:t xml:space="preserve"> </w:t>
      </w:r>
      <w:r w:rsidRPr="00A24EB3">
        <w:rPr>
          <w:rFonts w:asciiTheme="minorHAnsi" w:hAnsiTheme="minorHAnsi" w:cstheme="minorHAnsi"/>
          <w:sz w:val="24"/>
          <w:szCs w:val="24"/>
        </w:rPr>
        <w:t>OR</w:t>
      </w:r>
    </w:p>
    <w:p w14:paraId="1D6EE7D4" w14:textId="77777777" w:rsidR="00155A4D" w:rsidRPr="00A24EB3" w:rsidRDefault="00000000">
      <w:pPr>
        <w:pStyle w:val="ListParagraph"/>
        <w:numPr>
          <w:ilvl w:val="0"/>
          <w:numId w:val="1"/>
        </w:numPr>
        <w:tabs>
          <w:tab w:val="left" w:pos="821"/>
        </w:tabs>
        <w:spacing w:before="2"/>
        <w:ind w:hanging="361"/>
        <w:rPr>
          <w:rFonts w:asciiTheme="minorHAnsi" w:hAnsiTheme="minorHAnsi" w:cstheme="minorHAnsi"/>
          <w:sz w:val="24"/>
          <w:szCs w:val="24"/>
        </w:rPr>
      </w:pPr>
      <w:r w:rsidRPr="00A24EB3">
        <w:rPr>
          <w:rFonts w:asciiTheme="minorHAnsi" w:hAnsiTheme="minorHAnsi" w:cstheme="minorHAnsi"/>
          <w:sz w:val="24"/>
          <w:szCs w:val="24"/>
        </w:rPr>
        <w:t>Has the effect of substantially disrupting the orderly operation of the worksite or</w:t>
      </w:r>
      <w:r w:rsidRPr="00A24EB3">
        <w:rPr>
          <w:rFonts w:asciiTheme="minorHAnsi" w:hAnsiTheme="minorHAnsi" w:cstheme="minorHAnsi"/>
          <w:spacing w:val="-22"/>
          <w:sz w:val="24"/>
          <w:szCs w:val="24"/>
        </w:rPr>
        <w:t xml:space="preserve"> </w:t>
      </w:r>
      <w:r w:rsidRPr="00A24EB3">
        <w:rPr>
          <w:rFonts w:asciiTheme="minorHAnsi" w:hAnsiTheme="minorHAnsi" w:cstheme="minorHAnsi"/>
          <w:sz w:val="24"/>
          <w:szCs w:val="24"/>
        </w:rPr>
        <w:t>school.</w:t>
      </w:r>
    </w:p>
    <w:p w14:paraId="42C08103" w14:textId="77777777" w:rsidR="00155A4D" w:rsidRPr="00A24EB3" w:rsidRDefault="00155A4D">
      <w:pPr>
        <w:pStyle w:val="BodyText"/>
        <w:rPr>
          <w:rFonts w:asciiTheme="minorHAnsi" w:hAnsiTheme="minorHAnsi" w:cstheme="minorHAnsi"/>
          <w:sz w:val="24"/>
          <w:szCs w:val="24"/>
        </w:rPr>
      </w:pPr>
    </w:p>
    <w:p w14:paraId="6E22377D" w14:textId="77777777" w:rsidR="00155A4D" w:rsidRPr="00A24EB3" w:rsidRDefault="00155A4D">
      <w:pPr>
        <w:pStyle w:val="BodyText"/>
        <w:spacing w:before="10"/>
        <w:rPr>
          <w:rFonts w:asciiTheme="minorHAnsi" w:hAnsiTheme="minorHAnsi" w:cstheme="minorHAnsi"/>
          <w:sz w:val="24"/>
          <w:szCs w:val="24"/>
        </w:rPr>
      </w:pPr>
    </w:p>
    <w:p w14:paraId="31B7A9BA" w14:textId="1730A9E5" w:rsidR="00155A4D" w:rsidRPr="00A24EB3" w:rsidRDefault="00000000">
      <w:pPr>
        <w:pStyle w:val="BodyText"/>
        <w:spacing w:before="1"/>
        <w:ind w:left="100" w:right="228"/>
        <w:rPr>
          <w:rFonts w:asciiTheme="minorHAnsi" w:hAnsiTheme="minorHAnsi" w:cstheme="minorHAnsi"/>
          <w:sz w:val="24"/>
          <w:szCs w:val="24"/>
        </w:rPr>
      </w:pPr>
      <w:r w:rsidRPr="00A24EB3">
        <w:rPr>
          <w:rFonts w:asciiTheme="minorHAnsi" w:hAnsiTheme="minorHAnsi" w:cstheme="minorHAnsi"/>
          <w:b/>
          <w:sz w:val="24"/>
          <w:szCs w:val="24"/>
          <w:u w:val="thick"/>
        </w:rPr>
        <w:t>Workday</w:t>
      </w:r>
      <w:r w:rsidRPr="00A24EB3">
        <w:rPr>
          <w:rFonts w:asciiTheme="minorHAnsi" w:hAnsiTheme="minorHAnsi" w:cstheme="minorHAnsi"/>
          <w:sz w:val="24"/>
          <w:szCs w:val="24"/>
        </w:rPr>
        <w:t xml:space="preserve">: </w:t>
      </w:r>
      <w:r w:rsidR="00080A01" w:rsidRPr="00A24EB3">
        <w:rPr>
          <w:rFonts w:asciiTheme="minorHAnsi" w:hAnsiTheme="minorHAnsi" w:cstheme="minorHAnsi"/>
          <w:sz w:val="24"/>
          <w:szCs w:val="24"/>
        </w:rPr>
        <w:t>Unless expressly stated otherwise, the term “day” or “days” as used in this policy means business day(s) (i.e., a day(s) that the Board office is open for normal operating hours, Monday – Friday, excluding State-recognized holidays)</w:t>
      </w:r>
      <w:r w:rsidRPr="00A24EB3">
        <w:rPr>
          <w:rFonts w:asciiTheme="minorHAnsi" w:hAnsiTheme="minorHAnsi" w:cstheme="minorHAnsi"/>
          <w:sz w:val="24"/>
          <w:szCs w:val="24"/>
        </w:rPr>
        <w:t>.</w:t>
      </w:r>
    </w:p>
    <w:sectPr w:rsidR="00155A4D" w:rsidRPr="00A24EB3">
      <w:headerReference w:type="even" r:id="rId7"/>
      <w:headerReference w:type="default" r:id="rId8"/>
      <w:footerReference w:type="even" r:id="rId9"/>
      <w:footerReference w:type="default" r:id="rId10"/>
      <w:headerReference w:type="first" r:id="rId11"/>
      <w:footerReference w:type="first" r:id="rId12"/>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2019" w14:textId="77777777" w:rsidR="006931C2" w:rsidRDefault="006931C2" w:rsidP="0033262E">
      <w:r>
        <w:separator/>
      </w:r>
    </w:p>
  </w:endnote>
  <w:endnote w:type="continuationSeparator" w:id="0">
    <w:p w14:paraId="2BF7C6B0" w14:textId="77777777" w:rsidR="006931C2" w:rsidRDefault="006931C2" w:rsidP="0033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77C7" w14:textId="77777777" w:rsidR="0033262E" w:rsidRDefault="00332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1854" w14:textId="5948E6DF" w:rsidR="0033262E" w:rsidRDefault="0033262E">
    <w:pPr>
      <w:pStyle w:val="Footer"/>
    </w:pPr>
    <w:r>
      <w:t>Rev. 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8E2C" w14:textId="77777777" w:rsidR="0033262E" w:rsidRDefault="00332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30FB" w14:textId="77777777" w:rsidR="006931C2" w:rsidRDefault="006931C2" w:rsidP="0033262E">
      <w:r>
        <w:separator/>
      </w:r>
    </w:p>
  </w:footnote>
  <w:footnote w:type="continuationSeparator" w:id="0">
    <w:p w14:paraId="24649662" w14:textId="77777777" w:rsidR="006931C2" w:rsidRDefault="006931C2" w:rsidP="0033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7B3C" w14:textId="77777777" w:rsidR="0033262E" w:rsidRDefault="00332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E4D0" w14:textId="77777777" w:rsidR="0033262E" w:rsidRDefault="00332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C7E8" w14:textId="77777777" w:rsidR="0033262E" w:rsidRDefault="00332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2575"/>
    <w:multiLevelType w:val="hybridMultilevel"/>
    <w:tmpl w:val="41B8B1A0"/>
    <w:lvl w:ilvl="0" w:tplc="FBCECDEC">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en-US"/>
      </w:rPr>
    </w:lvl>
    <w:lvl w:ilvl="1" w:tplc="71265ABA">
      <w:numFmt w:val="bullet"/>
      <w:lvlText w:val="•"/>
      <w:lvlJc w:val="left"/>
      <w:pPr>
        <w:ind w:left="1696" w:hanging="360"/>
      </w:pPr>
      <w:rPr>
        <w:rFonts w:hint="default"/>
        <w:lang w:val="en-US" w:eastAsia="en-US" w:bidi="en-US"/>
      </w:rPr>
    </w:lvl>
    <w:lvl w:ilvl="2" w:tplc="F148F906">
      <w:numFmt w:val="bullet"/>
      <w:lvlText w:val="•"/>
      <w:lvlJc w:val="left"/>
      <w:pPr>
        <w:ind w:left="2572" w:hanging="360"/>
      </w:pPr>
      <w:rPr>
        <w:rFonts w:hint="default"/>
        <w:lang w:val="en-US" w:eastAsia="en-US" w:bidi="en-US"/>
      </w:rPr>
    </w:lvl>
    <w:lvl w:ilvl="3" w:tplc="F40C10D6">
      <w:numFmt w:val="bullet"/>
      <w:lvlText w:val="•"/>
      <w:lvlJc w:val="left"/>
      <w:pPr>
        <w:ind w:left="3448" w:hanging="360"/>
      </w:pPr>
      <w:rPr>
        <w:rFonts w:hint="default"/>
        <w:lang w:val="en-US" w:eastAsia="en-US" w:bidi="en-US"/>
      </w:rPr>
    </w:lvl>
    <w:lvl w:ilvl="4" w:tplc="4C9214F0">
      <w:numFmt w:val="bullet"/>
      <w:lvlText w:val="•"/>
      <w:lvlJc w:val="left"/>
      <w:pPr>
        <w:ind w:left="4324" w:hanging="360"/>
      </w:pPr>
      <w:rPr>
        <w:rFonts w:hint="default"/>
        <w:lang w:val="en-US" w:eastAsia="en-US" w:bidi="en-US"/>
      </w:rPr>
    </w:lvl>
    <w:lvl w:ilvl="5" w:tplc="7E5C3390">
      <w:numFmt w:val="bullet"/>
      <w:lvlText w:val="•"/>
      <w:lvlJc w:val="left"/>
      <w:pPr>
        <w:ind w:left="5200" w:hanging="360"/>
      </w:pPr>
      <w:rPr>
        <w:rFonts w:hint="default"/>
        <w:lang w:val="en-US" w:eastAsia="en-US" w:bidi="en-US"/>
      </w:rPr>
    </w:lvl>
    <w:lvl w:ilvl="6" w:tplc="8E921DC2">
      <w:numFmt w:val="bullet"/>
      <w:lvlText w:val="•"/>
      <w:lvlJc w:val="left"/>
      <w:pPr>
        <w:ind w:left="6076" w:hanging="360"/>
      </w:pPr>
      <w:rPr>
        <w:rFonts w:hint="default"/>
        <w:lang w:val="en-US" w:eastAsia="en-US" w:bidi="en-US"/>
      </w:rPr>
    </w:lvl>
    <w:lvl w:ilvl="7" w:tplc="1D62867C">
      <w:numFmt w:val="bullet"/>
      <w:lvlText w:val="•"/>
      <w:lvlJc w:val="left"/>
      <w:pPr>
        <w:ind w:left="6952" w:hanging="360"/>
      </w:pPr>
      <w:rPr>
        <w:rFonts w:hint="default"/>
        <w:lang w:val="en-US" w:eastAsia="en-US" w:bidi="en-US"/>
      </w:rPr>
    </w:lvl>
    <w:lvl w:ilvl="8" w:tplc="EBDAB1A8">
      <w:numFmt w:val="bullet"/>
      <w:lvlText w:val="•"/>
      <w:lvlJc w:val="left"/>
      <w:pPr>
        <w:ind w:left="7828" w:hanging="360"/>
      </w:pPr>
      <w:rPr>
        <w:rFonts w:hint="default"/>
        <w:lang w:val="en-US" w:eastAsia="en-US" w:bidi="en-US"/>
      </w:rPr>
    </w:lvl>
  </w:abstractNum>
  <w:abstractNum w:abstractNumId="1" w15:restartNumberingAfterBreak="0">
    <w:nsid w:val="618E5505"/>
    <w:multiLevelType w:val="hybridMultilevel"/>
    <w:tmpl w:val="C0FC2DB8"/>
    <w:lvl w:ilvl="0" w:tplc="573C1F94">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en-US"/>
      </w:rPr>
    </w:lvl>
    <w:lvl w:ilvl="1" w:tplc="B30C7B64">
      <w:numFmt w:val="bullet"/>
      <w:lvlText w:val="•"/>
      <w:lvlJc w:val="left"/>
      <w:pPr>
        <w:ind w:left="1696" w:hanging="360"/>
      </w:pPr>
      <w:rPr>
        <w:rFonts w:hint="default"/>
        <w:lang w:val="en-US" w:eastAsia="en-US" w:bidi="en-US"/>
      </w:rPr>
    </w:lvl>
    <w:lvl w:ilvl="2" w:tplc="48DC7098">
      <w:numFmt w:val="bullet"/>
      <w:lvlText w:val="•"/>
      <w:lvlJc w:val="left"/>
      <w:pPr>
        <w:ind w:left="2572" w:hanging="360"/>
      </w:pPr>
      <w:rPr>
        <w:rFonts w:hint="default"/>
        <w:lang w:val="en-US" w:eastAsia="en-US" w:bidi="en-US"/>
      </w:rPr>
    </w:lvl>
    <w:lvl w:ilvl="3" w:tplc="1BA4E700">
      <w:numFmt w:val="bullet"/>
      <w:lvlText w:val="•"/>
      <w:lvlJc w:val="left"/>
      <w:pPr>
        <w:ind w:left="3448" w:hanging="360"/>
      </w:pPr>
      <w:rPr>
        <w:rFonts w:hint="default"/>
        <w:lang w:val="en-US" w:eastAsia="en-US" w:bidi="en-US"/>
      </w:rPr>
    </w:lvl>
    <w:lvl w:ilvl="4" w:tplc="A336EAF8">
      <w:numFmt w:val="bullet"/>
      <w:lvlText w:val="•"/>
      <w:lvlJc w:val="left"/>
      <w:pPr>
        <w:ind w:left="4324" w:hanging="360"/>
      </w:pPr>
      <w:rPr>
        <w:rFonts w:hint="default"/>
        <w:lang w:val="en-US" w:eastAsia="en-US" w:bidi="en-US"/>
      </w:rPr>
    </w:lvl>
    <w:lvl w:ilvl="5" w:tplc="ABF6AF42">
      <w:numFmt w:val="bullet"/>
      <w:lvlText w:val="•"/>
      <w:lvlJc w:val="left"/>
      <w:pPr>
        <w:ind w:left="5200" w:hanging="360"/>
      </w:pPr>
      <w:rPr>
        <w:rFonts w:hint="default"/>
        <w:lang w:val="en-US" w:eastAsia="en-US" w:bidi="en-US"/>
      </w:rPr>
    </w:lvl>
    <w:lvl w:ilvl="6" w:tplc="0032D478">
      <w:numFmt w:val="bullet"/>
      <w:lvlText w:val="•"/>
      <w:lvlJc w:val="left"/>
      <w:pPr>
        <w:ind w:left="6076" w:hanging="360"/>
      </w:pPr>
      <w:rPr>
        <w:rFonts w:hint="default"/>
        <w:lang w:val="en-US" w:eastAsia="en-US" w:bidi="en-US"/>
      </w:rPr>
    </w:lvl>
    <w:lvl w:ilvl="7" w:tplc="B436FBAC">
      <w:numFmt w:val="bullet"/>
      <w:lvlText w:val="•"/>
      <w:lvlJc w:val="left"/>
      <w:pPr>
        <w:ind w:left="6952" w:hanging="360"/>
      </w:pPr>
      <w:rPr>
        <w:rFonts w:hint="default"/>
        <w:lang w:val="en-US" w:eastAsia="en-US" w:bidi="en-US"/>
      </w:rPr>
    </w:lvl>
    <w:lvl w:ilvl="8" w:tplc="A70AC588">
      <w:numFmt w:val="bullet"/>
      <w:lvlText w:val="•"/>
      <w:lvlJc w:val="left"/>
      <w:pPr>
        <w:ind w:left="7828" w:hanging="360"/>
      </w:pPr>
      <w:rPr>
        <w:rFonts w:hint="default"/>
        <w:lang w:val="en-US" w:eastAsia="en-US" w:bidi="en-US"/>
      </w:rPr>
    </w:lvl>
  </w:abstractNum>
  <w:num w:numId="1" w16cid:durableId="2066290213">
    <w:abstractNumId w:val="1"/>
  </w:num>
  <w:num w:numId="2" w16cid:durableId="32717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55A4D"/>
    <w:rsid w:val="00080A01"/>
    <w:rsid w:val="00155A4D"/>
    <w:rsid w:val="0033262E"/>
    <w:rsid w:val="006931C2"/>
    <w:rsid w:val="006C2B1B"/>
    <w:rsid w:val="00A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5FBD4"/>
  <w15:docId w15:val="{2371E0A3-DB86-4890-AFDC-6052D8C6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262E"/>
    <w:pPr>
      <w:tabs>
        <w:tab w:val="center" w:pos="4680"/>
        <w:tab w:val="right" w:pos="9360"/>
      </w:tabs>
    </w:pPr>
  </w:style>
  <w:style w:type="character" w:customStyle="1" w:styleId="HeaderChar">
    <w:name w:val="Header Char"/>
    <w:basedOn w:val="DefaultParagraphFont"/>
    <w:link w:val="Header"/>
    <w:uiPriority w:val="99"/>
    <w:rsid w:val="0033262E"/>
    <w:rPr>
      <w:rFonts w:ascii="Times New Roman" w:eastAsia="Times New Roman" w:hAnsi="Times New Roman" w:cs="Times New Roman"/>
      <w:lang w:bidi="en-US"/>
    </w:rPr>
  </w:style>
  <w:style w:type="paragraph" w:styleId="Footer">
    <w:name w:val="footer"/>
    <w:basedOn w:val="Normal"/>
    <w:link w:val="FooterChar"/>
    <w:uiPriority w:val="99"/>
    <w:unhideWhenUsed/>
    <w:rsid w:val="0033262E"/>
    <w:pPr>
      <w:tabs>
        <w:tab w:val="center" w:pos="4680"/>
        <w:tab w:val="right" w:pos="9360"/>
      </w:tabs>
    </w:pPr>
  </w:style>
  <w:style w:type="character" w:customStyle="1" w:styleId="FooterChar">
    <w:name w:val="Footer Char"/>
    <w:basedOn w:val="DefaultParagraphFont"/>
    <w:link w:val="Footer"/>
    <w:uiPriority w:val="99"/>
    <w:rsid w:val="0033262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742</Words>
  <Characters>4369</Characters>
  <Application>Microsoft Office Word</Application>
  <DocSecurity>0</DocSecurity>
  <Lines>87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 Archer</dc:creator>
  <cp:lastModifiedBy>Sheila Brooke Blue</cp:lastModifiedBy>
  <cp:revision>3</cp:revision>
  <dcterms:created xsi:type="dcterms:W3CDTF">2024-01-22T14:11:00Z</dcterms:created>
  <dcterms:modified xsi:type="dcterms:W3CDTF">2024-01-22T14:12:00Z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Creator">
    <vt:lpwstr>Microsoft® Word 2010</vt:lpwstr>
  </property>
  <property fmtid="{D5CDD505-2E9C-101B-9397-08002B2CF9AE}" pid="4" name="LastSaved">
    <vt:filetime>2024-01-22T00:00:00Z</vt:filetime>
  </property>
  <property fmtid="{D5CDD505-2E9C-101B-9397-08002B2CF9AE}" pid="5" name="GrammarlyDocumentId">
    <vt:lpwstr>521d2b62c07580993c0b964bdcd66a0f94fd2ce6a24bea72039ac414e474d84b</vt:lpwstr>
  </property>
</Properties>
</file>